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0A" w:rsidRDefault="003F5E0A" w:rsidP="00F955B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-452120</wp:posOffset>
            </wp:positionV>
            <wp:extent cx="685800" cy="1134110"/>
            <wp:effectExtent l="0" t="0" r="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E0A" w:rsidRDefault="003F5E0A" w:rsidP="00F95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Referencia intézményi záró minősítésre készül intézményünk</w:t>
      </w:r>
    </w:p>
    <w:p w:rsidR="003F5E0A" w:rsidRDefault="003F5E0A" w:rsidP="00F955B7">
      <w:pPr>
        <w:rPr>
          <w:b/>
          <w:sz w:val="28"/>
          <w:szCs w:val="28"/>
        </w:rPr>
      </w:pPr>
    </w:p>
    <w:p w:rsidR="003F5E0A" w:rsidRDefault="003F5E0A" w:rsidP="00F955B7">
      <w:pPr>
        <w:rPr>
          <w:b/>
          <w:sz w:val="28"/>
          <w:szCs w:val="28"/>
        </w:rPr>
      </w:pPr>
    </w:p>
    <w:p w:rsidR="003F5E0A" w:rsidRPr="003F5E0A" w:rsidRDefault="003F5E0A" w:rsidP="003F5E0A">
      <w:pPr>
        <w:widowControl w:val="0"/>
        <w:rPr>
          <w:color w:val="000000"/>
          <w:kern w:val="28"/>
        </w:rPr>
      </w:pPr>
      <w:r w:rsidRPr="003F5E0A">
        <w:rPr>
          <w:color w:val="000000"/>
          <w:kern w:val="28"/>
        </w:rPr>
        <w:t> </w:t>
      </w:r>
    </w:p>
    <w:p w:rsidR="007F4535" w:rsidRDefault="007F4535" w:rsidP="007F4535">
      <w:pPr>
        <w:jc w:val="both"/>
      </w:pPr>
      <w:r>
        <w:t xml:space="preserve">Intézményünk a 2010-ben előminősített referencia-intézmény lett. </w:t>
      </w:r>
    </w:p>
    <w:p w:rsidR="006E4709" w:rsidRDefault="006E4709" w:rsidP="007F4535">
      <w:pPr>
        <w:widowControl w:val="0"/>
        <w:jc w:val="both"/>
        <w:rPr>
          <w:rFonts w:ascii="Garamond" w:hAnsi="Garamond"/>
          <w:b/>
          <w:bCs/>
          <w:color w:val="000000"/>
          <w:kern w:val="28"/>
          <w:sz w:val="22"/>
          <w:szCs w:val="22"/>
          <w:u w:val="single"/>
        </w:rPr>
      </w:pPr>
    </w:p>
    <w:p w:rsidR="007F4535" w:rsidRPr="003F5E0A" w:rsidRDefault="007F4535" w:rsidP="007F4535">
      <w:pPr>
        <w:widowControl w:val="0"/>
        <w:jc w:val="both"/>
        <w:rPr>
          <w:rFonts w:ascii="Garamond" w:hAnsi="Garamond"/>
          <w:b/>
          <w:bCs/>
          <w:color w:val="000000"/>
          <w:kern w:val="28"/>
          <w:sz w:val="22"/>
          <w:szCs w:val="22"/>
          <w:u w:val="single"/>
        </w:rPr>
      </w:pPr>
      <w:r w:rsidRPr="003F5E0A">
        <w:rPr>
          <w:rFonts w:ascii="Garamond" w:hAnsi="Garamond"/>
          <w:b/>
          <w:bCs/>
          <w:color w:val="000000"/>
          <w:kern w:val="28"/>
          <w:sz w:val="22"/>
          <w:szCs w:val="22"/>
          <w:u w:val="single"/>
        </w:rPr>
        <w:t>Referencia területeink:</w:t>
      </w:r>
    </w:p>
    <w:p w:rsidR="007F4535" w:rsidRPr="003F5E0A" w:rsidRDefault="007F4535" w:rsidP="007F4535">
      <w:pPr>
        <w:widowControl w:val="0"/>
        <w:jc w:val="both"/>
        <w:rPr>
          <w:color w:val="000000"/>
          <w:kern w:val="28"/>
        </w:rPr>
      </w:pPr>
      <w:r w:rsidRPr="003F5E0A">
        <w:rPr>
          <w:color w:val="000000"/>
          <w:kern w:val="28"/>
        </w:rPr>
        <w:t>Az infokommunikációs technológiák alkalmazásában példaértékű intézmény</w:t>
      </w:r>
    </w:p>
    <w:p w:rsidR="007F4535" w:rsidRDefault="007F4535" w:rsidP="007F4535">
      <w:pPr>
        <w:jc w:val="both"/>
        <w:rPr>
          <w:color w:val="000000"/>
          <w:kern w:val="28"/>
        </w:rPr>
      </w:pPr>
      <w:r w:rsidRPr="003F5E0A">
        <w:rPr>
          <w:color w:val="000000"/>
          <w:kern w:val="28"/>
        </w:rPr>
        <w:t>Új típusú felsőoktatási gyakorlóhely</w:t>
      </w:r>
    </w:p>
    <w:p w:rsidR="007F4535" w:rsidRPr="003F5E0A" w:rsidRDefault="007F4535" w:rsidP="007F4535">
      <w:pPr>
        <w:jc w:val="both"/>
        <w:rPr>
          <w:color w:val="000000"/>
          <w:kern w:val="28"/>
        </w:rPr>
      </w:pPr>
    </w:p>
    <w:p w:rsidR="006E4709" w:rsidRPr="003F5E0A" w:rsidRDefault="007F4535" w:rsidP="006E4709">
      <w:pPr>
        <w:widowControl w:val="0"/>
        <w:jc w:val="both"/>
        <w:rPr>
          <w:color w:val="000000"/>
          <w:kern w:val="28"/>
        </w:rPr>
      </w:pPr>
      <w:r>
        <w:t>E</w:t>
      </w:r>
      <w:r w:rsidR="006E4709">
        <w:t>lőminősítésünk</w:t>
      </w:r>
      <w:r>
        <w:t xml:space="preserve"> óta számos fejlesztésen ment keresztül e terület. A TÁMOP-3.1.7</w:t>
      </w:r>
      <w:proofErr w:type="gramStart"/>
      <w:r>
        <w:t>.sz</w:t>
      </w:r>
      <w:proofErr w:type="gramEnd"/>
      <w:r>
        <w:t xml:space="preserve"> pályázatnak köszönhető,</w:t>
      </w:r>
      <w:r w:rsidRPr="007F4535">
        <w:t xml:space="preserve"> </w:t>
      </w:r>
      <w:r w:rsidR="006E4709">
        <w:t>új eszközökkel bővült</w:t>
      </w:r>
      <w:r>
        <w:t xml:space="preserve"> (robotméhecske, interaktív tábla</w:t>
      </w:r>
      <w:r w:rsidR="006E4709">
        <w:t>, laptop, konferencia székek, asztal</w:t>
      </w:r>
      <w:r>
        <w:t>)</w:t>
      </w:r>
      <w:r w:rsidR="006E4709">
        <w:t xml:space="preserve"> eszközrendszerünk, </w:t>
      </w:r>
      <w:r>
        <w:t>másrészt az óvodapedagógu</w:t>
      </w:r>
      <w:r w:rsidR="006E4709">
        <w:t>sok új innovációkat hajtottak végre</w:t>
      </w:r>
      <w:r>
        <w:t xml:space="preserve">. </w:t>
      </w:r>
      <w:r w:rsidR="006E4709">
        <w:rPr>
          <w:color w:val="000000"/>
          <w:kern w:val="28"/>
        </w:rPr>
        <w:t>Módosítottuk Pedagógiai</w:t>
      </w:r>
      <w:r w:rsidR="006E4709" w:rsidRPr="003F5E0A">
        <w:rPr>
          <w:color w:val="000000"/>
          <w:kern w:val="28"/>
        </w:rPr>
        <w:t xml:space="preserve"> Programunkat, a Házirendet, SZMSZ-t. Belső szabályzatokat készítettünk a „Jó gyakorlatok” átadására, a referencia-intézményi és Új típ</w:t>
      </w:r>
      <w:r w:rsidR="006E4709">
        <w:rPr>
          <w:color w:val="000000"/>
          <w:kern w:val="28"/>
        </w:rPr>
        <w:t xml:space="preserve">usú felsőoktatási gyakorlóhely </w:t>
      </w:r>
      <w:r w:rsidR="006E4709" w:rsidRPr="003F5E0A">
        <w:rPr>
          <w:color w:val="000000"/>
          <w:kern w:val="28"/>
        </w:rPr>
        <w:t>szakszerű működtetéséhez</w:t>
      </w:r>
      <w:r w:rsidR="006E4709">
        <w:rPr>
          <w:color w:val="000000"/>
          <w:kern w:val="28"/>
        </w:rPr>
        <w:t>.</w:t>
      </w:r>
    </w:p>
    <w:p w:rsidR="007F4535" w:rsidRDefault="007F4535" w:rsidP="006E4709">
      <w:pPr>
        <w:widowControl w:val="0"/>
        <w:jc w:val="both"/>
        <w:rPr>
          <w:color w:val="000000"/>
          <w:kern w:val="28"/>
        </w:rPr>
      </w:pPr>
      <w:r w:rsidRPr="007F4535">
        <w:rPr>
          <w:color w:val="000000"/>
          <w:kern w:val="28"/>
        </w:rPr>
        <w:t xml:space="preserve">Az OKKER </w:t>
      </w:r>
      <w:proofErr w:type="spellStart"/>
      <w:r w:rsidRPr="007F4535">
        <w:rPr>
          <w:color w:val="000000"/>
          <w:kern w:val="28"/>
        </w:rPr>
        <w:t>Zrt</w:t>
      </w:r>
      <w:proofErr w:type="spellEnd"/>
      <w:r w:rsidRPr="007F4535">
        <w:rPr>
          <w:color w:val="000000"/>
          <w:kern w:val="28"/>
        </w:rPr>
        <w:t xml:space="preserve">. szakembereivel, valamint más referencia-intézményi címre pályázó közoktatási intézményekkel széleskörű szakmai kapcsolatot alakítottunk ki. A szakértők által ismét megerősítést nyertünk munkánk jó szakmai színvonaláról. Fejlődött a pedagógusok kooperatív képessége. Megújult a módszertani kultúránk, új utakat leltünk a további fejlődésre. </w:t>
      </w:r>
    </w:p>
    <w:p w:rsidR="000B2E42" w:rsidRDefault="000B2E42" w:rsidP="000B2E42">
      <w:pPr>
        <w:jc w:val="both"/>
      </w:pPr>
      <w:r>
        <w:t xml:space="preserve">Munkakapcsolatba kerültünk </w:t>
      </w:r>
      <w:proofErr w:type="spellStart"/>
      <w:r>
        <w:t>eTwinning</w:t>
      </w:r>
      <w:proofErr w:type="spellEnd"/>
      <w:r>
        <w:t xml:space="preserve"> pályázatok során az EDUCATIO Társadalmi Szolgáltató Nonprofit Kft. munkatársaival, magyar és külföldi szemináriumokon vehettünk részt, megismerkedhettünk más intézmények munkájával. A Modern Magazin által részt vehettünk a Microsoft Partner sin </w:t>
      </w:r>
      <w:proofErr w:type="spellStart"/>
      <w:r>
        <w:t>Learning</w:t>
      </w:r>
      <w:proofErr w:type="spellEnd"/>
      <w:r>
        <w:t xml:space="preserve"> budapesti és magyarországi fordulóján. Jó gyakorlatunkat kiállíthattuk a </w:t>
      </w:r>
      <w:proofErr w:type="spellStart"/>
      <w:r>
        <w:t>HunDidac</w:t>
      </w:r>
      <w:proofErr w:type="spellEnd"/>
      <w:r>
        <w:t xml:space="preserve"> kiállításon. Kölcsönös munkakapcsolatunk lett az ELTE Tanító- és Óvóképző Kar Neveléstudományi Tanszékének Digitális Pedagógiai Csoportjával. Előadásokat tarthattunk konferenciákon. A gyermekek számára szintén újszerű ismereteket hozott a jó gyakorlat. Játékos formában megismerhették az informatika lehetőségeit, a korszerű eszközöket. Bemutattuk a számítógép lehetőségeit, de beszélünk veszélyeiről is. Tervünk, hogy a gyermekek számára a virtuális világot saját nyelvükre ültessük át, a mese elemein keresztül ismerjék meg. Az informatikai nevelést a mindennapok tevékenységébe iktatjuk be.  A szülők számára igyekszünk mintát adni, példát mutatni az internet, a programok használatában, a szokások-szabályok kialakításában. Közvetítjük, hogy az emberek életét nem uralhatja a gép, hanem az ember használja munkájának megkönnyítése érdekében.</w:t>
      </w:r>
    </w:p>
    <w:p w:rsidR="000B2E42" w:rsidRDefault="000B2E42" w:rsidP="000B2E42">
      <w:pPr>
        <w:jc w:val="both"/>
      </w:pPr>
      <w:r>
        <w:t xml:space="preserve">A munkánk eredményességét mérjük egyrészről a gyermekek személyiségdossziéjában lévő mérőlapon, másrészről szülői kérdőíveken. </w:t>
      </w:r>
    </w:p>
    <w:p w:rsidR="000B2E42" w:rsidRDefault="000B2E42" w:rsidP="000B2E42">
      <w:pPr>
        <w:jc w:val="both"/>
      </w:pPr>
      <w:r>
        <w:t xml:space="preserve">Az </w:t>
      </w:r>
      <w:proofErr w:type="spellStart"/>
      <w:r>
        <w:t>eTwinninget</w:t>
      </w:r>
      <w:proofErr w:type="spellEnd"/>
      <w:r>
        <w:t xml:space="preserve"> működtető csoportok külső szűrőn is mérhetőek, hiszen a versenyek, a külföldi partnerek visszajelzései egyértelmű választ adnak. </w:t>
      </w:r>
    </w:p>
    <w:p w:rsidR="000B2E42" w:rsidRDefault="000B2E42" w:rsidP="000B2E42">
      <w:pPr>
        <w:jc w:val="both"/>
      </w:pPr>
      <w:r>
        <w:t xml:space="preserve">2013-as Magyarországi </w:t>
      </w:r>
      <w:proofErr w:type="spellStart"/>
      <w:r>
        <w:t>eTwinning</w:t>
      </w:r>
      <w:proofErr w:type="spellEnd"/>
      <w:r>
        <w:t xml:space="preserve"> Versenyen I. helyezést ért el a Cinege csapat a Tudni illik, mi illik c. projekttel.</w:t>
      </w:r>
    </w:p>
    <w:p w:rsidR="000B2E42" w:rsidRDefault="000B2E42" w:rsidP="000B2E42">
      <w:pPr>
        <w:jc w:val="both"/>
        <w:rPr>
          <w:u w:val="single"/>
        </w:rPr>
      </w:pPr>
      <w:r>
        <w:rPr>
          <w:u w:val="single"/>
        </w:rPr>
        <w:t>Új projektjeink</w:t>
      </w:r>
    </w:p>
    <w:p w:rsidR="000B2E42" w:rsidRDefault="000B2E42" w:rsidP="000B2E42">
      <w:pPr>
        <w:jc w:val="both"/>
      </w:pPr>
      <w:r>
        <w:t xml:space="preserve">Cinege csoport: </w:t>
      </w:r>
      <w:proofErr w:type="spellStart"/>
      <w:r>
        <w:t>Ewery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is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</w:t>
      </w:r>
      <w:proofErr w:type="spellEnd"/>
    </w:p>
    <w:p w:rsidR="000B2E42" w:rsidRDefault="000B2E42" w:rsidP="000B2E42">
      <w:pPr>
        <w:jc w:val="both"/>
      </w:pPr>
      <w:r>
        <w:t xml:space="preserve">Sárgarigó csoport: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0B2E42" w:rsidRDefault="000B2E42" w:rsidP="000B2E42">
      <w:pPr>
        <w:jc w:val="both"/>
      </w:pPr>
      <w:r>
        <w:t>A külföldi projektekbe való bekapcsolódás angol nyelvtanulást is eredményezett. 2 pedagógus újrakezdő, 1 pedagógus haladó nyelvtanfolyamon vett részt.</w:t>
      </w:r>
    </w:p>
    <w:p w:rsidR="000B2E42" w:rsidRDefault="000B2E42" w:rsidP="000B2E42">
      <w:pPr>
        <w:jc w:val="both"/>
      </w:pPr>
    </w:p>
    <w:p w:rsidR="000B2E42" w:rsidRDefault="000B2E42" w:rsidP="000B2E42">
      <w:pPr>
        <w:jc w:val="both"/>
      </w:pPr>
      <w:r>
        <w:lastRenderedPageBreak/>
        <w:t xml:space="preserve">Óvodapedagógusaink minden csoportban szakmai elhivatottsággal végzik munkájukat. Sokszínű módszertani alkalmazásban mutatják be IKT eszközök felhasználásának lehetőségeit, módjait. Minden </w:t>
      </w:r>
      <w:proofErr w:type="gramStart"/>
      <w:r>
        <w:t>pedagógus felelős</w:t>
      </w:r>
      <w:proofErr w:type="gramEnd"/>
      <w:r>
        <w:t xml:space="preserve"> a saját csoportban az informatikai nevelés színvonaláért, a szülők tájékoztatásáért, a gyermekek fejlődésének méréséért. Az informatikai „Jó gyakorlat” gazdája a Cinege csoport két óvónője: Szépné </w:t>
      </w:r>
      <w:proofErr w:type="spellStart"/>
      <w:r>
        <w:t>Vinczencz</w:t>
      </w:r>
      <w:proofErr w:type="spellEnd"/>
      <w:r>
        <w:t xml:space="preserve"> Katalin és Radványi Zsuzsanna.</w:t>
      </w:r>
    </w:p>
    <w:p w:rsidR="000B2E42" w:rsidRDefault="000B2E42" w:rsidP="000B2E42">
      <w:pPr>
        <w:jc w:val="both"/>
      </w:pPr>
    </w:p>
    <w:p w:rsidR="000B2E42" w:rsidRDefault="000B2E42" w:rsidP="000B2E42">
      <w:pPr>
        <w:rPr>
          <w:b/>
        </w:rPr>
      </w:pPr>
      <w:r>
        <w:rPr>
          <w:b/>
        </w:rPr>
        <w:t>A jó gyakorlat működtetése, megvalósítása által a következő célokat szeretnénk elérni:</w:t>
      </w:r>
    </w:p>
    <w:p w:rsidR="000B2E42" w:rsidRDefault="000B2E42" w:rsidP="000B2E42"/>
    <w:p w:rsidR="000B2E42" w:rsidRDefault="000B2E42" w:rsidP="000B2E42">
      <w:pPr>
        <w:pStyle w:val="Listaszerbekezds"/>
        <w:numPr>
          <w:ilvl w:val="0"/>
          <w:numId w:val="1"/>
        </w:numPr>
      </w:pPr>
      <w:r>
        <w:t>A kisgyermekkori informatikai nevelés lehetőségeinek folyamatos kutatása, fejlesztése</w:t>
      </w:r>
    </w:p>
    <w:p w:rsidR="000B2E42" w:rsidRDefault="000B2E42" w:rsidP="000B2E42">
      <w:pPr>
        <w:pStyle w:val="Listaszerbekezds"/>
        <w:numPr>
          <w:ilvl w:val="0"/>
          <w:numId w:val="1"/>
        </w:numPr>
      </w:pPr>
      <w:r>
        <w:t>A szülők szemléletének formálása</w:t>
      </w:r>
    </w:p>
    <w:p w:rsidR="000B2E42" w:rsidRDefault="000B2E42" w:rsidP="000B2E42">
      <w:pPr>
        <w:pStyle w:val="Listaszerbekezds"/>
        <w:numPr>
          <w:ilvl w:val="0"/>
          <w:numId w:val="1"/>
        </w:numPr>
      </w:pPr>
      <w:r>
        <w:t>A szülők bevonása az informatikai nevelésbe</w:t>
      </w:r>
    </w:p>
    <w:p w:rsidR="000B2E42" w:rsidRDefault="000B2E42" w:rsidP="000B2E42">
      <w:pPr>
        <w:pStyle w:val="Listaszerbekezds"/>
        <w:numPr>
          <w:ilvl w:val="0"/>
          <w:numId w:val="1"/>
        </w:numPr>
      </w:pPr>
      <w:r>
        <w:t>Az adaptáló intézmények pedagógusainak megismertetése az óvodai informatikai nevelés lehetőségeivel</w:t>
      </w:r>
    </w:p>
    <w:p w:rsidR="000B2E42" w:rsidRDefault="000B2E42" w:rsidP="000B2E42">
      <w:pPr>
        <w:pStyle w:val="Listaszerbekezds"/>
        <w:numPr>
          <w:ilvl w:val="0"/>
          <w:numId w:val="1"/>
        </w:numPr>
      </w:pPr>
      <w:r>
        <w:t>A felsőoktatási intézmények hallgatóinak fogadása, kölcsönös munkakapcsolat</w:t>
      </w:r>
    </w:p>
    <w:p w:rsidR="000B2E42" w:rsidRDefault="000B2E42" w:rsidP="000B2E42">
      <w:pPr>
        <w:pStyle w:val="Listaszerbekezds"/>
        <w:numPr>
          <w:ilvl w:val="0"/>
          <w:numId w:val="1"/>
        </w:numPr>
      </w:pPr>
      <w:r>
        <w:t>Továbbképzések szervezése</w:t>
      </w:r>
    </w:p>
    <w:p w:rsidR="000B2E42" w:rsidRDefault="000B2E42" w:rsidP="000B2E42">
      <w:pPr>
        <w:pStyle w:val="Listaszerbekezds"/>
        <w:numPr>
          <w:ilvl w:val="0"/>
          <w:numId w:val="1"/>
        </w:numPr>
      </w:pPr>
      <w:r>
        <w:t>Kiadványok készítése, publikálás</w:t>
      </w:r>
    </w:p>
    <w:p w:rsidR="000B2E42" w:rsidRDefault="000B2E42" w:rsidP="000B2E42"/>
    <w:p w:rsidR="000B2E42" w:rsidRDefault="000B2E42" w:rsidP="000B2E42">
      <w:pPr>
        <w:rPr>
          <w:u w:val="single"/>
        </w:rPr>
      </w:pPr>
      <w:r>
        <w:rPr>
          <w:u w:val="single"/>
        </w:rPr>
        <w:t>Részcéljaink: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az IKT eszközök bővítése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Konferenciákon, előadásokon való aktív részvétel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Pályázatokban való részvétel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Versenyeken való részvétel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Tehetségműhely tartalmának fejlesztése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Interaktív tábla lehetőségeinek kihasználása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Robotméhecske bevezetése minden csoportba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proofErr w:type="spellStart"/>
      <w:r>
        <w:t>eTwinning</w:t>
      </w:r>
      <w:proofErr w:type="spellEnd"/>
      <w:r>
        <w:t xml:space="preserve"> folytatása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Comenius programba való bekapcsolódás</w:t>
      </w:r>
    </w:p>
    <w:p w:rsidR="000B2E42" w:rsidRDefault="000B2E42" w:rsidP="000B2E42">
      <w:pPr>
        <w:pStyle w:val="Listaszerbekezds"/>
        <w:numPr>
          <w:ilvl w:val="0"/>
          <w:numId w:val="2"/>
        </w:numPr>
      </w:pPr>
      <w:r>
        <w:t>„Jó gyakorlatunk” széleskörű terjesztése</w:t>
      </w:r>
    </w:p>
    <w:p w:rsidR="000B2E42" w:rsidRDefault="000B2E42" w:rsidP="000B2E42">
      <w:pPr>
        <w:jc w:val="both"/>
      </w:pPr>
    </w:p>
    <w:p w:rsidR="000B2E42" w:rsidRDefault="000B2E42" w:rsidP="006E4709">
      <w:pPr>
        <w:widowControl w:val="0"/>
        <w:jc w:val="both"/>
        <w:rPr>
          <w:color w:val="000000"/>
          <w:kern w:val="28"/>
        </w:rPr>
      </w:pPr>
    </w:p>
    <w:p w:rsidR="00E909D8" w:rsidRDefault="00E909D8" w:rsidP="006E4709">
      <w:pPr>
        <w:widowControl w:val="0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2014. március 24-én </w:t>
      </w:r>
      <w:proofErr w:type="gramStart"/>
      <w:r>
        <w:rPr>
          <w:color w:val="000000"/>
          <w:kern w:val="28"/>
        </w:rPr>
        <w:t>három tagú</w:t>
      </w:r>
      <w:proofErr w:type="gramEnd"/>
      <w:r>
        <w:rPr>
          <w:color w:val="000000"/>
          <w:kern w:val="28"/>
        </w:rPr>
        <w:t xml:space="preserve"> bizottság értékeli az előminősíté</w:t>
      </w:r>
      <w:r w:rsidR="00090398">
        <w:rPr>
          <w:color w:val="000000"/>
          <w:kern w:val="28"/>
        </w:rPr>
        <w:t xml:space="preserve">s óta eltelt időszak munkáját. Az EDUCATIO iskolatáska felületére feltöltött dokumentumok, bemutató foglalkozás és helyszíni látogatás tapasztalatai alapján döntik el, hogy a kívánt indikátoroknak megfelel-e intézményünk. </w:t>
      </w:r>
    </w:p>
    <w:p w:rsidR="00182684" w:rsidRPr="007F4535" w:rsidRDefault="00182684" w:rsidP="006E4709">
      <w:pPr>
        <w:widowControl w:val="0"/>
        <w:jc w:val="both"/>
        <w:rPr>
          <w:color w:val="000000"/>
          <w:kern w:val="28"/>
        </w:rPr>
      </w:pPr>
    </w:p>
    <w:p w:rsidR="007F4535" w:rsidRPr="007F4535" w:rsidRDefault="007F4535" w:rsidP="00E909D8">
      <w:pPr>
        <w:widowControl w:val="0"/>
        <w:jc w:val="both"/>
        <w:rPr>
          <w:color w:val="000000"/>
          <w:kern w:val="28"/>
        </w:rPr>
      </w:pPr>
      <w:r w:rsidRPr="007F4535">
        <w:rPr>
          <w:b/>
          <w:bCs/>
          <w:color w:val="000000"/>
          <w:kern w:val="28"/>
        </w:rPr>
        <w:t>Bízunk benne, hogy munkánk eléri célját, s a minősítés után büszkén és méltón viselhetjük a Referencia-intézményi címet</w:t>
      </w:r>
    </w:p>
    <w:p w:rsidR="00F955B7" w:rsidRPr="007F4535" w:rsidRDefault="00F955B7" w:rsidP="00F955B7">
      <w:pPr>
        <w:rPr>
          <w:i/>
        </w:rPr>
      </w:pPr>
    </w:p>
    <w:p w:rsidR="00F955B7" w:rsidRDefault="00F955B7" w:rsidP="00F955B7">
      <w:pPr>
        <w:jc w:val="both"/>
      </w:pPr>
    </w:p>
    <w:p w:rsidR="00F955B7" w:rsidRDefault="00F955B7" w:rsidP="00F955B7">
      <w:pPr>
        <w:rPr>
          <w:rFonts w:ascii="Arial" w:hAnsi="Arial" w:cs="Arial"/>
          <w:color w:val="FF0000"/>
        </w:rPr>
      </w:pPr>
    </w:p>
    <w:p w:rsidR="00F955B7" w:rsidRDefault="00F955B7" w:rsidP="00F955B7"/>
    <w:p w:rsidR="00F955B7" w:rsidRDefault="00F955B7" w:rsidP="00F955B7"/>
    <w:p w:rsidR="00DE6B2E" w:rsidRDefault="00C052DA" w:rsidP="00F955B7"/>
    <w:sectPr w:rsidR="00DE6B2E" w:rsidSect="00185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DA" w:rsidRDefault="00C052DA" w:rsidP="00B90E3D">
      <w:r>
        <w:separator/>
      </w:r>
    </w:p>
  </w:endnote>
  <w:endnote w:type="continuationSeparator" w:id="0">
    <w:p w:rsidR="00C052DA" w:rsidRDefault="00C052DA" w:rsidP="00B9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639743"/>
      <w:docPartObj>
        <w:docPartGallery w:val="Page Numbers (Bottom of Page)"/>
        <w:docPartUnique/>
      </w:docPartObj>
    </w:sdtPr>
    <w:sdtContent>
      <w:p w:rsidR="00B90E3D" w:rsidRDefault="001855BF">
        <w:pPr>
          <w:pStyle w:val="llb"/>
          <w:jc w:val="center"/>
        </w:pPr>
        <w:r>
          <w:fldChar w:fldCharType="begin"/>
        </w:r>
        <w:r w:rsidR="00B90E3D">
          <w:instrText>PAGE   \* MERGEFORMAT</w:instrText>
        </w:r>
        <w:r>
          <w:fldChar w:fldCharType="separate"/>
        </w:r>
        <w:r w:rsidR="00086160">
          <w:rPr>
            <w:noProof/>
          </w:rPr>
          <w:t>1</w:t>
        </w:r>
        <w:r>
          <w:fldChar w:fldCharType="end"/>
        </w:r>
      </w:p>
    </w:sdtContent>
  </w:sdt>
  <w:p w:rsidR="00B90E3D" w:rsidRDefault="00B90E3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DA" w:rsidRDefault="00C052DA" w:rsidP="00B90E3D">
      <w:r>
        <w:separator/>
      </w:r>
    </w:p>
  </w:footnote>
  <w:footnote w:type="continuationSeparator" w:id="0">
    <w:p w:rsidR="00C052DA" w:rsidRDefault="00C052DA" w:rsidP="00B90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E0D"/>
    <w:multiLevelType w:val="hybridMultilevel"/>
    <w:tmpl w:val="8FD09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68D7"/>
    <w:multiLevelType w:val="hybridMultilevel"/>
    <w:tmpl w:val="7E1ED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C5"/>
    <w:rsid w:val="00086160"/>
    <w:rsid w:val="00090398"/>
    <w:rsid w:val="000B2E42"/>
    <w:rsid w:val="00117E1A"/>
    <w:rsid w:val="00171557"/>
    <w:rsid w:val="00182684"/>
    <w:rsid w:val="001855BF"/>
    <w:rsid w:val="003F5E0A"/>
    <w:rsid w:val="006E4709"/>
    <w:rsid w:val="007F4535"/>
    <w:rsid w:val="008E55C2"/>
    <w:rsid w:val="00961837"/>
    <w:rsid w:val="00B718C5"/>
    <w:rsid w:val="00B90E3D"/>
    <w:rsid w:val="00C052DA"/>
    <w:rsid w:val="00CD4F37"/>
    <w:rsid w:val="00CD6DC5"/>
    <w:rsid w:val="00E909D8"/>
    <w:rsid w:val="00F9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8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8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5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0E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0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0E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0E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8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8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5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0E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0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0E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0E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szolnok62</dc:creator>
  <cp:lastModifiedBy>Anyu</cp:lastModifiedBy>
  <cp:revision>2</cp:revision>
  <dcterms:created xsi:type="dcterms:W3CDTF">2014-03-17T17:00:00Z</dcterms:created>
  <dcterms:modified xsi:type="dcterms:W3CDTF">2014-03-17T17:00:00Z</dcterms:modified>
</cp:coreProperties>
</file>